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276"/>
        <w:gridCol w:w="1188"/>
        <w:gridCol w:w="2464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072EBD" w:rsidP="00B5047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Bujak </w:t>
            </w:r>
            <w:r w:rsidR="00B50472">
              <w:rPr>
                <w:sz w:val="24"/>
                <w:szCs w:val="24"/>
              </w:rPr>
              <w:t>kubełkowy statek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8C2529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pojedyncze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B50472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BUK-ST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944AAE">
        <w:trPr>
          <w:cnfStyle w:val="000000100000"/>
          <w:trHeight w:val="5176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55620E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  <w:p w:rsidR="00593119" w:rsidRPr="00192F77" w:rsidRDefault="008B0823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6264</wp:posOffset>
                  </wp:positionH>
                  <wp:positionV relativeFrom="paragraph">
                    <wp:posOffset>110896</wp:posOffset>
                  </wp:positionV>
                  <wp:extent cx="3663118" cy="2874874"/>
                  <wp:effectExtent l="0" t="0" r="0" b="190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uzela osa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1142" t="9339" r="11142" b="9339"/>
                          <a:stretch/>
                        </pic:blipFill>
                        <pic:spPr bwMode="auto">
                          <a:xfrm>
                            <a:off x="0" y="0"/>
                            <a:ext cx="3672769" cy="2882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6450FC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 w:rsidRPr="006450FC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margin-left:80.95pt;margin-top:96.55pt;width:173.85pt;height:175.3pt;z-index:251662336;mso-position-horizontal-relative:text;mso-position-vertical-relative:text">
                  <v:imagedata r:id="rId8" o:title=""/>
                </v:shape>
                <o:OLEObject Type="Embed" ProgID="PBrush" ShapeID="_x0000_s1033" DrawAspect="Content" ObjectID="_1593108762" r:id="rId9"/>
              </w:pict>
            </w:r>
          </w:p>
        </w:tc>
        <w:bookmarkStart w:id="0" w:name="_GoBack"/>
        <w:bookmarkEnd w:id="0"/>
      </w:tr>
      <w:tr w:rsidR="00593119" w:rsidTr="003C3ADE">
        <w:trPr>
          <w:trHeight w:val="145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P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1872A5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  <w:r w:rsidR="0042070D">
              <w:rPr>
                <w:sz w:val="18"/>
                <w:szCs w:val="18"/>
              </w:rPr>
              <w:t xml:space="preserve"> m</w:t>
            </w:r>
          </w:p>
        </w:tc>
      </w:tr>
      <w:tr w:rsidR="00CA4620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CA4620" w:rsidRPr="003D7BCC" w:rsidRDefault="00CA4620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CA4620" w:rsidRPr="003D7BCC" w:rsidRDefault="00CA4620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CA4620" w:rsidRPr="003D7BCC" w:rsidRDefault="00CA4620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A4620" w:rsidRDefault="00CA4620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 x 0,48 x 0,77 m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42070D" w:rsidRDefault="004207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Ø </w:t>
            </w:r>
            <w:r w:rsidR="00B50472">
              <w:rPr>
                <w:sz w:val="18"/>
                <w:szCs w:val="18"/>
              </w:rPr>
              <w:t>4</w:t>
            </w:r>
            <w:r w:rsidR="001872A5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m</w:t>
            </w:r>
          </w:p>
        </w:tc>
      </w:tr>
      <w:tr w:rsidR="007A491B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CA4620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12,6 </w:t>
            </w:r>
            <w:r w:rsidR="0042070D">
              <w:rPr>
                <w:sz w:val="18"/>
                <w:szCs w:val="18"/>
              </w:rPr>
              <w:t>m</w:t>
            </w:r>
            <w:r w:rsidR="0042070D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B093C">
        <w:trPr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7B73D2" w:rsidTr="007B73D2">
        <w:trPr>
          <w:trHeight w:hRule="exact" w:val="318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7B73D2" w:rsidRPr="0049471D" w:rsidRDefault="007B73D2" w:rsidP="00593119">
            <w:pPr>
              <w:pStyle w:val="Bezodstpw"/>
            </w:pP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7B73D2" w:rsidRPr="00566312" w:rsidRDefault="007B73D2" w:rsidP="00593119">
            <w:pPr>
              <w:pStyle w:val="Bezodstpw"/>
              <w:jc w:val="center"/>
              <w:cnfStyle w:val="000000000000"/>
              <w:rPr>
                <w:b/>
              </w:rPr>
            </w:pPr>
          </w:p>
        </w:tc>
      </w:tr>
      <w:tr w:rsidR="001872A5" w:rsidTr="007B73D2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1872A5" w:rsidRPr="001872A5" w:rsidRDefault="001872A5" w:rsidP="00606A7B">
            <w:pPr>
              <w:pStyle w:val="Bezodstpw"/>
              <w:rPr>
                <w:b w:val="0"/>
                <w:sz w:val="20"/>
                <w:szCs w:val="20"/>
              </w:rPr>
            </w:pPr>
            <w:r w:rsidRPr="001872A5"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1872A5" w:rsidRDefault="001872A5" w:rsidP="000B67D7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 w:rsidRPr="0007087F">
              <w:rPr>
                <w:rFonts w:cstheme="minorHAnsi"/>
                <w:sz w:val="16"/>
                <w:szCs w:val="16"/>
              </w:rPr>
              <w:t>płyty z tworzywa HDPE</w:t>
            </w:r>
            <w:r>
              <w:rPr>
                <w:rFonts w:cstheme="minorHAnsi"/>
                <w:sz w:val="16"/>
                <w:szCs w:val="16"/>
              </w:rPr>
              <w:t xml:space="preserve"> / HPL oraz HDPE trójwarstwowe z frezowanymi rysunkami</w:t>
            </w:r>
          </w:p>
        </w:tc>
      </w:tr>
      <w:tr w:rsidR="007B73D2" w:rsidTr="007B73D2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0B67D7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7B73D2" w:rsidTr="007B73D2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0B67D7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</w:p>
        </w:tc>
      </w:tr>
      <w:tr w:rsidR="007B73D2" w:rsidTr="007B73D2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0B67D7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łby śrub, nakrętki osłonięte plastikowymi zaślepkami. Nakrętki kołpakowe z łbem kulistym</w:t>
            </w:r>
          </w:p>
        </w:tc>
      </w:tr>
      <w:tr w:rsidR="00357B86" w:rsidTr="00EE2DCA">
        <w:trPr>
          <w:cnfStyle w:val="000000100000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357B86" w:rsidRPr="00EE2DCA" w:rsidRDefault="00357B86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>
              <w:rPr>
                <w:b w:val="0"/>
                <w:sz w:val="16"/>
                <w:szCs w:val="16"/>
              </w:rPr>
              <w:t>zgodności z normą z grupy PN-EN 1176:2009 oraz PN-EN 1177:2009.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783" w:rsidRDefault="00405783" w:rsidP="00B06421">
      <w:pPr>
        <w:spacing w:line="240" w:lineRule="auto"/>
      </w:pPr>
      <w:r>
        <w:separator/>
      </w:r>
    </w:p>
  </w:endnote>
  <w:endnote w:type="continuationSeparator" w:id="1">
    <w:p w:rsidR="00405783" w:rsidRDefault="00405783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783" w:rsidRDefault="00405783" w:rsidP="00B06421">
      <w:pPr>
        <w:spacing w:line="240" w:lineRule="auto"/>
      </w:pPr>
      <w:r>
        <w:separator/>
      </w:r>
    </w:p>
  </w:footnote>
  <w:footnote w:type="continuationSeparator" w:id="1">
    <w:p w:rsidR="00405783" w:rsidRDefault="00405783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7E" w:rsidRDefault="00C24F7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7087F"/>
    <w:rsid w:val="00072EBD"/>
    <w:rsid w:val="00073786"/>
    <w:rsid w:val="000819EE"/>
    <w:rsid w:val="000908C9"/>
    <w:rsid w:val="000B0037"/>
    <w:rsid w:val="000E1F60"/>
    <w:rsid w:val="000F6C0B"/>
    <w:rsid w:val="00116A2D"/>
    <w:rsid w:val="0016679E"/>
    <w:rsid w:val="00175F69"/>
    <w:rsid w:val="001762C7"/>
    <w:rsid w:val="001872A5"/>
    <w:rsid w:val="00192F77"/>
    <w:rsid w:val="00196829"/>
    <w:rsid w:val="001C6032"/>
    <w:rsid w:val="001E051E"/>
    <w:rsid w:val="00201A91"/>
    <w:rsid w:val="002167ED"/>
    <w:rsid w:val="0023509C"/>
    <w:rsid w:val="0023726D"/>
    <w:rsid w:val="00255CB1"/>
    <w:rsid w:val="002716A9"/>
    <w:rsid w:val="0027208A"/>
    <w:rsid w:val="00286815"/>
    <w:rsid w:val="002C4059"/>
    <w:rsid w:val="002D2471"/>
    <w:rsid w:val="002E7E8D"/>
    <w:rsid w:val="00300E34"/>
    <w:rsid w:val="00311BAD"/>
    <w:rsid w:val="00332F20"/>
    <w:rsid w:val="00342A54"/>
    <w:rsid w:val="00357B86"/>
    <w:rsid w:val="00362FC9"/>
    <w:rsid w:val="00377BC8"/>
    <w:rsid w:val="00377ECA"/>
    <w:rsid w:val="00386C34"/>
    <w:rsid w:val="00387BF2"/>
    <w:rsid w:val="003A6A7E"/>
    <w:rsid w:val="003C3ADE"/>
    <w:rsid w:val="003C40AB"/>
    <w:rsid w:val="003D0E54"/>
    <w:rsid w:val="003D7BCC"/>
    <w:rsid w:val="003E0A32"/>
    <w:rsid w:val="00402A06"/>
    <w:rsid w:val="00405783"/>
    <w:rsid w:val="00414762"/>
    <w:rsid w:val="0042070D"/>
    <w:rsid w:val="00421B35"/>
    <w:rsid w:val="00434BA3"/>
    <w:rsid w:val="00437BF3"/>
    <w:rsid w:val="004573AE"/>
    <w:rsid w:val="004717BC"/>
    <w:rsid w:val="00487BDF"/>
    <w:rsid w:val="0049471D"/>
    <w:rsid w:val="004A1B1D"/>
    <w:rsid w:val="004B140C"/>
    <w:rsid w:val="004B76D4"/>
    <w:rsid w:val="004D39ED"/>
    <w:rsid w:val="004F5348"/>
    <w:rsid w:val="004F605D"/>
    <w:rsid w:val="004F60F3"/>
    <w:rsid w:val="004F6811"/>
    <w:rsid w:val="00513877"/>
    <w:rsid w:val="00524A54"/>
    <w:rsid w:val="00526FF3"/>
    <w:rsid w:val="00537BAF"/>
    <w:rsid w:val="00554DE1"/>
    <w:rsid w:val="0055620E"/>
    <w:rsid w:val="00566312"/>
    <w:rsid w:val="00581A52"/>
    <w:rsid w:val="0058631A"/>
    <w:rsid w:val="00593119"/>
    <w:rsid w:val="005A02CC"/>
    <w:rsid w:val="005C29DD"/>
    <w:rsid w:val="005C7B1B"/>
    <w:rsid w:val="006012F7"/>
    <w:rsid w:val="00606A7B"/>
    <w:rsid w:val="00606BDB"/>
    <w:rsid w:val="0061710D"/>
    <w:rsid w:val="00633B63"/>
    <w:rsid w:val="006450FC"/>
    <w:rsid w:val="006608F6"/>
    <w:rsid w:val="00664A01"/>
    <w:rsid w:val="006E27C4"/>
    <w:rsid w:val="006E3108"/>
    <w:rsid w:val="006F4A93"/>
    <w:rsid w:val="0075462B"/>
    <w:rsid w:val="00762BA6"/>
    <w:rsid w:val="007759B3"/>
    <w:rsid w:val="00790F1B"/>
    <w:rsid w:val="007A491B"/>
    <w:rsid w:val="007B5388"/>
    <w:rsid w:val="007B73D2"/>
    <w:rsid w:val="007C1C27"/>
    <w:rsid w:val="007D4B66"/>
    <w:rsid w:val="007E3D71"/>
    <w:rsid w:val="00810DAE"/>
    <w:rsid w:val="00817993"/>
    <w:rsid w:val="00846A96"/>
    <w:rsid w:val="00853C90"/>
    <w:rsid w:val="008730D2"/>
    <w:rsid w:val="00875E0C"/>
    <w:rsid w:val="008B0823"/>
    <w:rsid w:val="008B2940"/>
    <w:rsid w:val="008C2529"/>
    <w:rsid w:val="008D2DB3"/>
    <w:rsid w:val="008D48EC"/>
    <w:rsid w:val="008F0F11"/>
    <w:rsid w:val="00944AAE"/>
    <w:rsid w:val="00980D93"/>
    <w:rsid w:val="0099420F"/>
    <w:rsid w:val="00994DEC"/>
    <w:rsid w:val="009B2ADF"/>
    <w:rsid w:val="009B319D"/>
    <w:rsid w:val="009B6D3E"/>
    <w:rsid w:val="009C2634"/>
    <w:rsid w:val="009D76C5"/>
    <w:rsid w:val="009E3841"/>
    <w:rsid w:val="00A920DA"/>
    <w:rsid w:val="00A95A6C"/>
    <w:rsid w:val="00AA2B7B"/>
    <w:rsid w:val="00AA6053"/>
    <w:rsid w:val="00AA7369"/>
    <w:rsid w:val="00AB24F7"/>
    <w:rsid w:val="00AC0E3A"/>
    <w:rsid w:val="00AD0415"/>
    <w:rsid w:val="00AE3A79"/>
    <w:rsid w:val="00B06421"/>
    <w:rsid w:val="00B4335D"/>
    <w:rsid w:val="00B4592E"/>
    <w:rsid w:val="00B46213"/>
    <w:rsid w:val="00B50472"/>
    <w:rsid w:val="00B62CF9"/>
    <w:rsid w:val="00B62D7B"/>
    <w:rsid w:val="00B70421"/>
    <w:rsid w:val="00B803CC"/>
    <w:rsid w:val="00B83A7D"/>
    <w:rsid w:val="00BA60B7"/>
    <w:rsid w:val="00BC2DDE"/>
    <w:rsid w:val="00BC32E0"/>
    <w:rsid w:val="00BD2C20"/>
    <w:rsid w:val="00BD4057"/>
    <w:rsid w:val="00BD4B45"/>
    <w:rsid w:val="00C05D1B"/>
    <w:rsid w:val="00C13A28"/>
    <w:rsid w:val="00C168B5"/>
    <w:rsid w:val="00C176CA"/>
    <w:rsid w:val="00C21BC6"/>
    <w:rsid w:val="00C24335"/>
    <w:rsid w:val="00C24F7E"/>
    <w:rsid w:val="00C31094"/>
    <w:rsid w:val="00C355A1"/>
    <w:rsid w:val="00C50FB8"/>
    <w:rsid w:val="00C52CD1"/>
    <w:rsid w:val="00C63498"/>
    <w:rsid w:val="00C63F2F"/>
    <w:rsid w:val="00C730AD"/>
    <w:rsid w:val="00C74AA3"/>
    <w:rsid w:val="00C80CCD"/>
    <w:rsid w:val="00CA4620"/>
    <w:rsid w:val="00CA5E35"/>
    <w:rsid w:val="00CA7F22"/>
    <w:rsid w:val="00CB0310"/>
    <w:rsid w:val="00CB2285"/>
    <w:rsid w:val="00CC1D9D"/>
    <w:rsid w:val="00CC5D86"/>
    <w:rsid w:val="00CF5827"/>
    <w:rsid w:val="00D0152C"/>
    <w:rsid w:val="00D32FA7"/>
    <w:rsid w:val="00D75CF5"/>
    <w:rsid w:val="00D96CFE"/>
    <w:rsid w:val="00DA35F2"/>
    <w:rsid w:val="00DA650F"/>
    <w:rsid w:val="00DB093C"/>
    <w:rsid w:val="00DF14BB"/>
    <w:rsid w:val="00DF7361"/>
    <w:rsid w:val="00E02CA3"/>
    <w:rsid w:val="00E273A5"/>
    <w:rsid w:val="00E758B9"/>
    <w:rsid w:val="00E83B69"/>
    <w:rsid w:val="00E86007"/>
    <w:rsid w:val="00E918AB"/>
    <w:rsid w:val="00E92E05"/>
    <w:rsid w:val="00E95F85"/>
    <w:rsid w:val="00E976F1"/>
    <w:rsid w:val="00EC4B27"/>
    <w:rsid w:val="00EC7E0C"/>
    <w:rsid w:val="00ED0870"/>
    <w:rsid w:val="00ED2EAE"/>
    <w:rsid w:val="00EE2DCA"/>
    <w:rsid w:val="00F056EF"/>
    <w:rsid w:val="00F06EF9"/>
    <w:rsid w:val="00F77B10"/>
    <w:rsid w:val="00FA0D49"/>
    <w:rsid w:val="00FB59A5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945C5-150D-4CBD-878E-3750A2E4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8</cp:revision>
  <cp:lastPrinted>2015-02-13T07:44:00Z</cp:lastPrinted>
  <dcterms:created xsi:type="dcterms:W3CDTF">2015-02-12T08:04:00Z</dcterms:created>
  <dcterms:modified xsi:type="dcterms:W3CDTF">2018-07-14T19:26:00Z</dcterms:modified>
</cp:coreProperties>
</file>